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671" w:rsidRDefault="00581671" w:rsidP="00212A79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581671" w:rsidRPr="0028778B" w:rsidRDefault="00581671" w:rsidP="005E1430">
      <w:pPr>
        <w:pStyle w:val="Title"/>
        <w:rPr>
          <w:szCs w:val="28"/>
        </w:rPr>
      </w:pPr>
      <w:r w:rsidRPr="0028778B">
        <w:rPr>
          <w:szCs w:val="28"/>
        </w:rPr>
        <w:t>Р  О  С  С  И  Й  С  К  А  Я    Ф  Е  Д  Е  Р  А  Ц  И  Я</w:t>
      </w:r>
    </w:p>
    <w:p w:rsidR="00581671" w:rsidRPr="0028778B" w:rsidRDefault="00581671" w:rsidP="005E1430">
      <w:pPr>
        <w:jc w:val="center"/>
        <w:rPr>
          <w:rFonts w:ascii="Times New Roman" w:hAnsi="Times New Roman"/>
          <w:sz w:val="28"/>
          <w:szCs w:val="28"/>
        </w:rPr>
      </w:pPr>
      <w:r w:rsidRPr="0028778B">
        <w:rPr>
          <w:rFonts w:ascii="Times New Roman" w:hAnsi="Times New Roman"/>
          <w:sz w:val="28"/>
          <w:szCs w:val="28"/>
        </w:rPr>
        <w:t>Министерство здравоохранения Забайкальского Края</w:t>
      </w:r>
    </w:p>
    <w:p w:rsidR="00581671" w:rsidRPr="0028778B" w:rsidRDefault="00581671" w:rsidP="005E1430">
      <w:pPr>
        <w:jc w:val="center"/>
        <w:rPr>
          <w:rFonts w:ascii="Times New Roman" w:hAnsi="Times New Roman"/>
          <w:sz w:val="28"/>
          <w:szCs w:val="28"/>
        </w:rPr>
      </w:pPr>
      <w:r w:rsidRPr="0028778B">
        <w:rPr>
          <w:rFonts w:ascii="Times New Roman" w:hAnsi="Times New Roman"/>
          <w:sz w:val="28"/>
          <w:szCs w:val="28"/>
        </w:rPr>
        <w:t>----------------------------------------------------------------------------------------------------</w:t>
      </w:r>
    </w:p>
    <w:p w:rsidR="00581671" w:rsidRPr="0028778B" w:rsidRDefault="00581671" w:rsidP="005E1430">
      <w:pPr>
        <w:pStyle w:val="Heading7"/>
        <w:rPr>
          <w:sz w:val="28"/>
          <w:szCs w:val="28"/>
        </w:rPr>
      </w:pPr>
      <w:r w:rsidRPr="0028778B">
        <w:rPr>
          <w:sz w:val="28"/>
          <w:szCs w:val="28"/>
        </w:rPr>
        <w:t>Государственное  учреждение  здравоохранения</w:t>
      </w:r>
    </w:p>
    <w:p w:rsidR="00581671" w:rsidRPr="0028778B" w:rsidRDefault="00581671" w:rsidP="005E1430">
      <w:pPr>
        <w:pStyle w:val="Heading7"/>
        <w:rPr>
          <w:sz w:val="28"/>
          <w:szCs w:val="28"/>
        </w:rPr>
      </w:pPr>
      <w:r w:rsidRPr="0028778B">
        <w:rPr>
          <w:sz w:val="28"/>
          <w:szCs w:val="28"/>
        </w:rPr>
        <w:t>КРАЕВАЯ   КЛИНИЧЕСКАЯ   БОЛЬНИЦА</w:t>
      </w:r>
    </w:p>
    <w:p w:rsidR="00581671" w:rsidRPr="0028778B" w:rsidRDefault="00581671" w:rsidP="005E1430">
      <w:pPr>
        <w:jc w:val="center"/>
        <w:rPr>
          <w:rFonts w:ascii="Times New Roman" w:hAnsi="Times New Roman"/>
          <w:sz w:val="28"/>
          <w:szCs w:val="28"/>
          <w:lang w:val="en-US"/>
        </w:rPr>
      </w:pPr>
      <w:r w:rsidRPr="0028778B">
        <w:rPr>
          <w:rFonts w:ascii="Times New Roman" w:hAnsi="Times New Roman"/>
          <w:sz w:val="28"/>
          <w:szCs w:val="28"/>
        </w:rPr>
        <w:t xml:space="preserve">Коханского ул., д. </w:t>
      </w:r>
      <w:smartTag w:uri="urn:schemas-microsoft-com:office:smarttags" w:element="metricconverter">
        <w:smartTagPr>
          <w:attr w:name="ProductID" w:val="7, г"/>
        </w:smartTagPr>
        <w:r w:rsidRPr="0028778B">
          <w:rPr>
            <w:rFonts w:ascii="Times New Roman" w:hAnsi="Times New Roman"/>
            <w:sz w:val="28"/>
            <w:szCs w:val="28"/>
          </w:rPr>
          <w:t>7, г</w:t>
        </w:r>
      </w:smartTag>
      <w:r w:rsidRPr="0028778B">
        <w:rPr>
          <w:rFonts w:ascii="Times New Roman" w:hAnsi="Times New Roman"/>
          <w:sz w:val="28"/>
          <w:szCs w:val="28"/>
        </w:rPr>
        <w:t>. Чита, 672038,</w:t>
      </w:r>
      <w:r w:rsidRPr="0028778B">
        <w:rPr>
          <w:rFonts w:ascii="Times New Roman" w:hAnsi="Times New Roman"/>
          <w:sz w:val="28"/>
          <w:szCs w:val="28"/>
        </w:rPr>
        <w:tab/>
        <w:t xml:space="preserve">тел. 31-43-23, факс. </w:t>
      </w:r>
      <w:r w:rsidRPr="0028778B">
        <w:rPr>
          <w:rFonts w:ascii="Times New Roman" w:hAnsi="Times New Roman"/>
          <w:sz w:val="28"/>
          <w:szCs w:val="28"/>
          <w:lang w:val="en-US"/>
        </w:rPr>
        <w:t>(302-2) 31-43-24</w:t>
      </w:r>
    </w:p>
    <w:p w:rsidR="00581671" w:rsidRPr="0028778B" w:rsidRDefault="00581671" w:rsidP="005E1430">
      <w:pPr>
        <w:ind w:left="2880" w:firstLine="720"/>
        <w:jc w:val="center"/>
        <w:rPr>
          <w:rFonts w:ascii="Times New Roman" w:hAnsi="Times New Roman"/>
          <w:sz w:val="28"/>
          <w:szCs w:val="28"/>
          <w:lang w:val="en-US"/>
        </w:rPr>
      </w:pPr>
      <w:r w:rsidRPr="0028778B">
        <w:rPr>
          <w:rFonts w:ascii="Times New Roman" w:hAnsi="Times New Roman"/>
          <w:sz w:val="28"/>
          <w:szCs w:val="28"/>
          <w:lang w:val="en-US"/>
        </w:rPr>
        <w:t xml:space="preserve">      E-mail: okboffice@mail.ru</w:t>
      </w:r>
    </w:p>
    <w:p w:rsidR="00581671" w:rsidRPr="0028778B" w:rsidRDefault="00581671" w:rsidP="005E1430">
      <w:pPr>
        <w:jc w:val="center"/>
        <w:rPr>
          <w:rFonts w:ascii="Times New Roman" w:hAnsi="Times New Roman"/>
          <w:sz w:val="28"/>
          <w:szCs w:val="28"/>
          <w:lang w:val="en-US"/>
        </w:rPr>
      </w:pPr>
      <w:r w:rsidRPr="0028778B">
        <w:rPr>
          <w:rFonts w:ascii="Times New Roman" w:hAnsi="Times New Roman"/>
          <w:sz w:val="28"/>
          <w:szCs w:val="28"/>
          <w:lang w:val="en-US"/>
        </w:rPr>
        <w:t>_________________________________________________________________</w:t>
      </w:r>
    </w:p>
    <w:p w:rsidR="00581671" w:rsidRPr="0028778B" w:rsidRDefault="00581671" w:rsidP="005E1430">
      <w:pPr>
        <w:pStyle w:val="NormalWeb"/>
        <w:jc w:val="center"/>
      </w:pPr>
      <w:r w:rsidRPr="0028778B">
        <w:t>№</w:t>
      </w:r>
      <w:r w:rsidRPr="0028778B">
        <w:rPr>
          <w:sz w:val="27"/>
          <w:szCs w:val="27"/>
        </w:rPr>
        <w:t xml:space="preserve"> _</w:t>
      </w:r>
      <w:r>
        <w:rPr>
          <w:sz w:val="27"/>
          <w:szCs w:val="27"/>
        </w:rPr>
        <w:t>242</w:t>
      </w:r>
      <w:r w:rsidRPr="0028778B">
        <w:rPr>
          <w:sz w:val="27"/>
          <w:szCs w:val="27"/>
        </w:rPr>
        <w:t>-о__                                                                  «__</w:t>
      </w:r>
      <w:r>
        <w:rPr>
          <w:sz w:val="27"/>
          <w:szCs w:val="27"/>
        </w:rPr>
        <w:t>10___»__10</w:t>
      </w:r>
      <w:r w:rsidRPr="0028778B">
        <w:rPr>
          <w:sz w:val="27"/>
          <w:szCs w:val="27"/>
        </w:rPr>
        <w:t>__201</w:t>
      </w:r>
      <w:r w:rsidRPr="005E1430">
        <w:rPr>
          <w:sz w:val="27"/>
          <w:szCs w:val="27"/>
        </w:rPr>
        <w:t>4</w:t>
      </w:r>
      <w:r w:rsidRPr="0028778B">
        <w:rPr>
          <w:sz w:val="27"/>
          <w:szCs w:val="27"/>
        </w:rPr>
        <w:t>г.</w:t>
      </w:r>
    </w:p>
    <w:p w:rsidR="00581671" w:rsidRDefault="00581671" w:rsidP="005E1430">
      <w:pPr>
        <w:pStyle w:val="NormalWeb"/>
        <w:ind w:firstLine="709"/>
        <w:jc w:val="center"/>
      </w:pPr>
    </w:p>
    <w:p w:rsidR="00581671" w:rsidRDefault="00581671" w:rsidP="005E1430">
      <w:pPr>
        <w:pStyle w:val="NormalWeb"/>
        <w:ind w:firstLine="709"/>
        <w:jc w:val="right"/>
      </w:pPr>
      <w:r>
        <w:t>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sz w:val="32"/>
          <w:szCs w:val="32"/>
        </w:rPr>
        <w:t>«Утверждаю»</w:t>
      </w:r>
    </w:p>
    <w:p w:rsidR="00581671" w:rsidRDefault="00581671" w:rsidP="005E1430">
      <w:pPr>
        <w:pStyle w:val="NormalWeb"/>
        <w:jc w:val="right"/>
      </w:pPr>
      <w:r>
        <w:t>                                                 </w:t>
      </w:r>
      <w:r>
        <w:rPr>
          <w:sz w:val="27"/>
          <w:szCs w:val="27"/>
        </w:rPr>
        <w:t>Главный врач ККБ</w:t>
      </w:r>
      <w:r>
        <w:t>__________________________</w:t>
      </w:r>
    </w:p>
    <w:p w:rsidR="00581671" w:rsidRPr="005E1430" w:rsidRDefault="00581671" w:rsidP="005E1430">
      <w:pPr>
        <w:pStyle w:val="NormalWeb"/>
        <w:jc w:val="right"/>
      </w:pPr>
      <w:r>
        <w:t>                                                                                                                               </w:t>
      </w:r>
      <w:r>
        <w:rPr>
          <w:sz w:val="27"/>
          <w:szCs w:val="27"/>
        </w:rPr>
        <w:t>Шальнев В.А.</w:t>
      </w:r>
    </w:p>
    <w:p w:rsidR="00581671" w:rsidRPr="00C4139F" w:rsidRDefault="00581671" w:rsidP="005E1430">
      <w:pPr>
        <w:rPr>
          <w:b/>
          <w:sz w:val="28"/>
          <w:szCs w:val="28"/>
        </w:rPr>
      </w:pPr>
    </w:p>
    <w:p w:rsidR="00581671" w:rsidRPr="00E404D2" w:rsidRDefault="00581671" w:rsidP="005E143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Информационное письмо</w:t>
      </w:r>
    </w:p>
    <w:p w:rsidR="00581671" w:rsidRPr="00212A79" w:rsidRDefault="00581671" w:rsidP="00212A79">
      <w:pPr>
        <w:jc w:val="both"/>
        <w:rPr>
          <w:rFonts w:ascii="Times New Roman" w:hAnsi="Times New Roman"/>
          <w:sz w:val="28"/>
          <w:szCs w:val="28"/>
        </w:rPr>
      </w:pPr>
    </w:p>
    <w:p w:rsidR="00581671" w:rsidRPr="005E1430" w:rsidRDefault="00581671" w:rsidP="005E1430">
      <w:pPr>
        <w:jc w:val="center"/>
        <w:rPr>
          <w:rFonts w:ascii="Times New Roman" w:hAnsi="Times New Roman"/>
          <w:b/>
          <w:sz w:val="32"/>
          <w:szCs w:val="32"/>
        </w:rPr>
      </w:pPr>
      <w:r w:rsidRPr="005E1430">
        <w:rPr>
          <w:rFonts w:ascii="Times New Roman" w:hAnsi="Times New Roman"/>
          <w:b/>
          <w:sz w:val="32"/>
          <w:szCs w:val="32"/>
        </w:rPr>
        <w:t>Системные проявления ХОБЛ</w:t>
      </w:r>
    </w:p>
    <w:p w:rsidR="00581671" w:rsidRPr="00212A79" w:rsidRDefault="00581671" w:rsidP="005E1430">
      <w:pPr>
        <w:jc w:val="center"/>
        <w:rPr>
          <w:rFonts w:ascii="Times New Roman" w:hAnsi="Times New Roman"/>
          <w:sz w:val="28"/>
          <w:szCs w:val="28"/>
        </w:rPr>
      </w:pPr>
      <w:r w:rsidRPr="005E1430">
        <w:rPr>
          <w:rFonts w:ascii="Times New Roman" w:hAnsi="Times New Roman"/>
          <w:sz w:val="28"/>
          <w:szCs w:val="28"/>
        </w:rPr>
        <w:t>Врач отделения пульмонологии</w:t>
      </w:r>
      <w:r w:rsidRPr="00212A79">
        <w:rPr>
          <w:rFonts w:ascii="Times New Roman" w:hAnsi="Times New Roman"/>
          <w:sz w:val="28"/>
          <w:szCs w:val="28"/>
        </w:rPr>
        <w:t xml:space="preserve"> Е.С. Загузина</w:t>
      </w:r>
    </w:p>
    <w:p w:rsidR="00581671" w:rsidRDefault="00581671" w:rsidP="005E1430">
      <w:pPr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Зав. отделением пульмонологии</w:t>
      </w:r>
      <w:r w:rsidRPr="00212A79">
        <w:rPr>
          <w:rFonts w:ascii="Times New Roman" w:hAnsi="Times New Roman"/>
          <w:sz w:val="28"/>
          <w:szCs w:val="28"/>
        </w:rPr>
        <w:t xml:space="preserve"> А.В. Малкин</w:t>
      </w:r>
    </w:p>
    <w:p w:rsidR="00581671" w:rsidRDefault="00581671" w:rsidP="00212A79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581671" w:rsidRDefault="00581671" w:rsidP="00212A79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581671" w:rsidRDefault="00581671" w:rsidP="00212A79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581671" w:rsidRDefault="00581671" w:rsidP="00212A79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581671" w:rsidRDefault="00581671" w:rsidP="00212A79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581671" w:rsidRDefault="00581671" w:rsidP="00212A79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581671" w:rsidRDefault="00581671" w:rsidP="005E1430">
      <w:pPr>
        <w:rPr>
          <w:rFonts w:ascii="Times New Roman" w:hAnsi="Times New Roman"/>
          <w:sz w:val="28"/>
          <w:szCs w:val="28"/>
          <w:u w:val="single"/>
        </w:rPr>
      </w:pPr>
    </w:p>
    <w:p w:rsidR="00581671" w:rsidRPr="00212A79" w:rsidRDefault="00581671" w:rsidP="005E1430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5E1430">
        <w:rPr>
          <w:rFonts w:ascii="Times New Roman" w:hAnsi="Times New Roman"/>
          <w:sz w:val="32"/>
          <w:szCs w:val="32"/>
        </w:rPr>
        <w:t>Системные проявления ХОБЛ</w:t>
      </w:r>
    </w:p>
    <w:p w:rsidR="00581671" w:rsidRPr="00212A79" w:rsidRDefault="00581671" w:rsidP="00212A79">
      <w:pPr>
        <w:jc w:val="both"/>
        <w:rPr>
          <w:rFonts w:ascii="Times New Roman" w:hAnsi="Times New Roman"/>
          <w:sz w:val="28"/>
          <w:szCs w:val="28"/>
        </w:rPr>
      </w:pPr>
      <w:r w:rsidRPr="00212A79">
        <w:rPr>
          <w:rFonts w:ascii="Times New Roman" w:hAnsi="Times New Roman"/>
          <w:sz w:val="28"/>
          <w:szCs w:val="28"/>
        </w:rPr>
        <w:t>• Кахексия: потеря общей массы</w:t>
      </w:r>
    </w:p>
    <w:p w:rsidR="00581671" w:rsidRPr="00212A79" w:rsidRDefault="00581671" w:rsidP="00212A79">
      <w:pPr>
        <w:jc w:val="both"/>
        <w:rPr>
          <w:rFonts w:ascii="Times New Roman" w:hAnsi="Times New Roman"/>
          <w:sz w:val="28"/>
          <w:szCs w:val="28"/>
        </w:rPr>
      </w:pPr>
      <w:r w:rsidRPr="00212A79">
        <w:rPr>
          <w:rFonts w:ascii="Times New Roman" w:hAnsi="Times New Roman"/>
          <w:sz w:val="28"/>
          <w:szCs w:val="28"/>
        </w:rPr>
        <w:t>• Потеря скелетной мускулатуры: апоптоз, атрофия от бездействия</w:t>
      </w:r>
    </w:p>
    <w:p w:rsidR="00581671" w:rsidRPr="00212A79" w:rsidRDefault="00581671" w:rsidP="00212A79">
      <w:pPr>
        <w:jc w:val="both"/>
        <w:rPr>
          <w:rFonts w:ascii="Times New Roman" w:hAnsi="Times New Roman"/>
          <w:sz w:val="28"/>
          <w:szCs w:val="28"/>
        </w:rPr>
      </w:pPr>
      <w:r w:rsidRPr="00212A79">
        <w:rPr>
          <w:rFonts w:ascii="Times New Roman" w:hAnsi="Times New Roman"/>
          <w:sz w:val="28"/>
          <w:szCs w:val="28"/>
        </w:rPr>
        <w:t>• Остеопороз</w:t>
      </w:r>
    </w:p>
    <w:p w:rsidR="00581671" w:rsidRPr="00212A79" w:rsidRDefault="00581671" w:rsidP="00212A79">
      <w:pPr>
        <w:jc w:val="both"/>
        <w:rPr>
          <w:rFonts w:ascii="Times New Roman" w:hAnsi="Times New Roman"/>
          <w:sz w:val="28"/>
          <w:szCs w:val="28"/>
        </w:rPr>
      </w:pPr>
      <w:r w:rsidRPr="00212A79">
        <w:rPr>
          <w:rFonts w:ascii="Times New Roman" w:hAnsi="Times New Roman"/>
          <w:sz w:val="28"/>
          <w:szCs w:val="28"/>
        </w:rPr>
        <w:t>• Депрессия</w:t>
      </w:r>
    </w:p>
    <w:p w:rsidR="00581671" w:rsidRPr="00212A79" w:rsidRDefault="00581671" w:rsidP="00212A79">
      <w:pPr>
        <w:jc w:val="both"/>
        <w:rPr>
          <w:rFonts w:ascii="Times New Roman" w:hAnsi="Times New Roman"/>
          <w:sz w:val="28"/>
          <w:szCs w:val="28"/>
        </w:rPr>
      </w:pPr>
      <w:r w:rsidRPr="00212A79">
        <w:rPr>
          <w:rFonts w:ascii="Times New Roman" w:hAnsi="Times New Roman"/>
          <w:sz w:val="28"/>
          <w:szCs w:val="28"/>
        </w:rPr>
        <w:t>• Нормохромная нормоцитарная анемия</w:t>
      </w:r>
    </w:p>
    <w:p w:rsidR="00581671" w:rsidRPr="00212A79" w:rsidRDefault="00581671" w:rsidP="00212A79">
      <w:pPr>
        <w:jc w:val="both"/>
        <w:rPr>
          <w:rFonts w:ascii="Times New Roman" w:hAnsi="Times New Roman"/>
          <w:sz w:val="28"/>
          <w:szCs w:val="28"/>
        </w:rPr>
      </w:pPr>
      <w:r w:rsidRPr="00212A79">
        <w:rPr>
          <w:rFonts w:ascii="Times New Roman" w:hAnsi="Times New Roman"/>
          <w:sz w:val="28"/>
          <w:szCs w:val="28"/>
        </w:rPr>
        <w:t>• Повышенный риск сердечнососудистых заболеваний связан с повышением уровня CРБ.</w:t>
      </w:r>
    </w:p>
    <w:p w:rsidR="00581671" w:rsidRPr="00212A79" w:rsidRDefault="00581671" w:rsidP="00212A79">
      <w:pPr>
        <w:jc w:val="both"/>
        <w:rPr>
          <w:rFonts w:ascii="Times New Roman" w:hAnsi="Times New Roman"/>
          <w:sz w:val="28"/>
          <w:szCs w:val="28"/>
        </w:rPr>
      </w:pPr>
      <w:r w:rsidRPr="00212A79">
        <w:rPr>
          <w:rFonts w:ascii="Times New Roman" w:hAnsi="Times New Roman"/>
          <w:sz w:val="28"/>
          <w:szCs w:val="28"/>
        </w:rPr>
        <w:t>Становится всё более очевидным, что ХОБЛ присущ ряд системных проявлений, особенно при тяжелом заболевании, и что эти проявления оказывают выраженное влияние на выживаемость пациентов и раз</w:t>
      </w:r>
      <w:r>
        <w:rPr>
          <w:rFonts w:ascii="Times New Roman" w:hAnsi="Times New Roman"/>
          <w:sz w:val="28"/>
          <w:szCs w:val="28"/>
        </w:rPr>
        <w:t>витие сопутствующих заболеваний</w:t>
      </w:r>
      <w:r w:rsidRPr="00212A79">
        <w:rPr>
          <w:rFonts w:ascii="Times New Roman" w:hAnsi="Times New Roman"/>
          <w:sz w:val="28"/>
          <w:szCs w:val="28"/>
        </w:rPr>
        <w:t>. У пациентов с тяжелой ХОБЛ часто отмечается кахексия. Возможна потеря мышечной массы и слабость мышц в результате активации апоптоза и/или бездействия мышц. Кроме того, у пациентов с ХОБЛ повышен риск остеопороза,</w:t>
      </w:r>
      <w:r>
        <w:rPr>
          <w:rFonts w:ascii="Times New Roman" w:hAnsi="Times New Roman"/>
          <w:sz w:val="28"/>
          <w:szCs w:val="28"/>
        </w:rPr>
        <w:t xml:space="preserve"> депрессии и хронической анемии</w:t>
      </w:r>
      <w:r w:rsidRPr="00212A79">
        <w:rPr>
          <w:rFonts w:ascii="Times New Roman" w:hAnsi="Times New Roman"/>
          <w:sz w:val="28"/>
          <w:szCs w:val="28"/>
        </w:rPr>
        <w:t>. Медиатором некоторых из этих системных эффектов может быть повышение концентраций воспалительных медиаторов, в том числе TNFα, IL6 и свободных кислородных радикалов. Отмечается увеличение риска сердечно-сосудистых заболеваний, коррелирующее с повышением уровня Cреактивного белка (CРБ)</w:t>
      </w:r>
      <w:bookmarkStart w:id="0" w:name="_GoBack"/>
      <w:bookmarkEnd w:id="0"/>
      <w:r w:rsidRPr="00212A79">
        <w:rPr>
          <w:rFonts w:ascii="Times New Roman" w:hAnsi="Times New Roman"/>
          <w:sz w:val="28"/>
          <w:szCs w:val="28"/>
        </w:rPr>
        <w:t xml:space="preserve">.  </w:t>
      </w:r>
    </w:p>
    <w:p w:rsidR="00581671" w:rsidRPr="00212A79" w:rsidRDefault="00581671" w:rsidP="00212A79">
      <w:pPr>
        <w:jc w:val="both"/>
        <w:rPr>
          <w:rFonts w:ascii="Times New Roman" w:hAnsi="Times New Roman"/>
          <w:sz w:val="28"/>
          <w:szCs w:val="28"/>
        </w:rPr>
      </w:pPr>
      <w:r w:rsidRPr="00212A79">
        <w:rPr>
          <w:rFonts w:ascii="Times New Roman" w:hAnsi="Times New Roman"/>
          <w:sz w:val="28"/>
          <w:szCs w:val="28"/>
        </w:rPr>
        <w:t>Ишемическая болезнь сердца (ИБС) встречается у пациентов с ХОБЛ чаще, чем в общей популяции. Отчасти это связано с неблагоприятным профилем риска р</w:t>
      </w:r>
      <w:r>
        <w:rPr>
          <w:rFonts w:ascii="Times New Roman" w:hAnsi="Times New Roman"/>
          <w:sz w:val="28"/>
          <w:szCs w:val="28"/>
        </w:rPr>
        <w:t>азвития  ИБС у пациентов с ХОБЛ</w:t>
      </w:r>
      <w:r w:rsidRPr="00212A79">
        <w:rPr>
          <w:rFonts w:ascii="Times New Roman" w:hAnsi="Times New Roman"/>
          <w:sz w:val="28"/>
          <w:szCs w:val="28"/>
        </w:rPr>
        <w:t>. Есть данные о том, что повреждение миокарда проходит незамеченным  и, следовательно, имеет место гиподиагностика ИБС у пациентов с ХОБЛ.</w:t>
      </w:r>
    </w:p>
    <w:p w:rsidR="00581671" w:rsidRPr="00212A79" w:rsidRDefault="00581671" w:rsidP="00212A79">
      <w:pPr>
        <w:jc w:val="both"/>
        <w:rPr>
          <w:rFonts w:ascii="Times New Roman" w:hAnsi="Times New Roman"/>
          <w:sz w:val="28"/>
          <w:szCs w:val="28"/>
        </w:rPr>
      </w:pPr>
      <w:r w:rsidRPr="00212A79">
        <w:rPr>
          <w:rFonts w:ascii="Times New Roman" w:hAnsi="Times New Roman"/>
          <w:sz w:val="28"/>
          <w:szCs w:val="28"/>
        </w:rPr>
        <w:t>Мерцательная аритмия (МА) является самым распространенным видом нарушения ритма сердца, а у пациентов с ХОБЛ мерцательная аритмия встречае</w:t>
      </w:r>
      <w:r>
        <w:rPr>
          <w:rFonts w:ascii="Times New Roman" w:hAnsi="Times New Roman"/>
          <w:sz w:val="28"/>
          <w:szCs w:val="28"/>
        </w:rPr>
        <w:t>тся чаще, чем в общей популяции</w:t>
      </w:r>
      <w:r w:rsidRPr="00212A79">
        <w:rPr>
          <w:rFonts w:ascii="Times New Roman" w:hAnsi="Times New Roman"/>
          <w:sz w:val="28"/>
          <w:szCs w:val="28"/>
        </w:rPr>
        <w:t>. Сочетание ХОБЛ и МА ставит перед клиницистами сложную проблему, поскольку такое сочетание приводит к появлению одышки и инвалидизации пациентов.</w:t>
      </w:r>
    </w:p>
    <w:p w:rsidR="00581671" w:rsidRPr="00212A79" w:rsidRDefault="00581671" w:rsidP="00212A79">
      <w:pPr>
        <w:jc w:val="both"/>
        <w:rPr>
          <w:rFonts w:ascii="Times New Roman" w:hAnsi="Times New Roman"/>
          <w:sz w:val="28"/>
          <w:szCs w:val="28"/>
        </w:rPr>
      </w:pPr>
      <w:r w:rsidRPr="00212A79">
        <w:rPr>
          <w:rFonts w:ascii="Times New Roman" w:hAnsi="Times New Roman"/>
          <w:sz w:val="28"/>
          <w:szCs w:val="28"/>
        </w:rPr>
        <w:t>Артериальная гипертензия  является наиболее частой спутницей ХОБЛ и оказывает</w:t>
      </w:r>
      <w:r>
        <w:rPr>
          <w:rFonts w:ascii="Times New Roman" w:hAnsi="Times New Roman"/>
          <w:sz w:val="28"/>
          <w:szCs w:val="28"/>
        </w:rPr>
        <w:t xml:space="preserve"> влияние на прогноз заболевания</w:t>
      </w:r>
      <w:r w:rsidRPr="00212A79">
        <w:rPr>
          <w:rFonts w:ascii="Times New Roman" w:hAnsi="Times New Roman"/>
          <w:sz w:val="28"/>
          <w:szCs w:val="28"/>
        </w:rPr>
        <w:t>.</w:t>
      </w:r>
    </w:p>
    <w:p w:rsidR="00581671" w:rsidRPr="00212A79" w:rsidRDefault="00581671" w:rsidP="00212A79">
      <w:pPr>
        <w:jc w:val="both"/>
        <w:rPr>
          <w:rFonts w:ascii="Times New Roman" w:hAnsi="Times New Roman"/>
          <w:sz w:val="28"/>
          <w:szCs w:val="28"/>
        </w:rPr>
      </w:pPr>
      <w:r w:rsidRPr="00212A79">
        <w:rPr>
          <w:rFonts w:ascii="Times New Roman" w:hAnsi="Times New Roman"/>
          <w:sz w:val="28"/>
          <w:szCs w:val="28"/>
        </w:rPr>
        <w:t>Лечение ХОБЛ у пациентов с артериальной гипертензией должно проводиться как обычно, поскольку нет прямых доказательств того, что ХОБЛ следует лечить иначе при наличии артериальной гипертензии.</w:t>
      </w:r>
    </w:p>
    <w:p w:rsidR="00581671" w:rsidRPr="00212A79" w:rsidRDefault="00581671" w:rsidP="00212A79">
      <w:pPr>
        <w:jc w:val="both"/>
        <w:rPr>
          <w:rFonts w:ascii="Times New Roman" w:hAnsi="Times New Roman"/>
          <w:sz w:val="28"/>
          <w:szCs w:val="28"/>
        </w:rPr>
      </w:pPr>
      <w:r w:rsidRPr="00212A79">
        <w:rPr>
          <w:rFonts w:ascii="Times New Roman" w:hAnsi="Times New Roman"/>
          <w:sz w:val="28"/>
          <w:szCs w:val="28"/>
        </w:rPr>
        <w:t>Согласно данным исследований, метаболический синдром и сахарный диабет чаще встречаются у пациентов с ХОБЛ, и сахарный диа</w:t>
      </w:r>
      <w:r>
        <w:rPr>
          <w:rFonts w:ascii="Times New Roman" w:hAnsi="Times New Roman"/>
          <w:sz w:val="28"/>
          <w:szCs w:val="28"/>
        </w:rPr>
        <w:t>бет, вероятно, ухудшает прогноз</w:t>
      </w:r>
      <w:r w:rsidRPr="00212A79">
        <w:rPr>
          <w:rFonts w:ascii="Times New Roman" w:hAnsi="Times New Roman"/>
          <w:sz w:val="28"/>
          <w:szCs w:val="28"/>
        </w:rPr>
        <w:t>. Лечение сахарного диабета у пациентов с ХОБЛ должно проводиться в соответствии со стандартными рекомендациями, поскольку нет данных о том, что сахарный диабет следует лечить иначе при наличии ХОБЛ.</w:t>
      </w:r>
    </w:p>
    <w:p w:rsidR="00581671" w:rsidRPr="00212A79" w:rsidRDefault="00581671" w:rsidP="00212A79">
      <w:pPr>
        <w:jc w:val="both"/>
        <w:rPr>
          <w:rFonts w:ascii="Times New Roman" w:hAnsi="Times New Roman"/>
          <w:sz w:val="28"/>
          <w:szCs w:val="28"/>
        </w:rPr>
      </w:pPr>
      <w:r w:rsidRPr="00212A79">
        <w:rPr>
          <w:rFonts w:ascii="Times New Roman" w:hAnsi="Times New Roman"/>
          <w:sz w:val="28"/>
          <w:szCs w:val="28"/>
        </w:rPr>
        <w:t>Однако у пациентов с тяжелой ХОБЛ не рекомендуется стремиться к значительному снижению массы тела: индекс массы тела должен быть не менее 21 кг/м</w:t>
      </w:r>
      <w:r w:rsidRPr="005E1430">
        <w:rPr>
          <w:rFonts w:ascii="Times New Roman" w:hAnsi="Times New Roman"/>
          <w:sz w:val="20"/>
          <w:szCs w:val="20"/>
        </w:rPr>
        <w:t>2</w:t>
      </w:r>
      <w:r w:rsidRPr="00212A79">
        <w:rPr>
          <w:rFonts w:ascii="Times New Roman" w:hAnsi="Times New Roman"/>
          <w:sz w:val="28"/>
          <w:szCs w:val="28"/>
        </w:rPr>
        <w:t>.</w:t>
      </w:r>
    </w:p>
    <w:p w:rsidR="00581671" w:rsidRPr="00212A79" w:rsidRDefault="00581671" w:rsidP="00212A79">
      <w:pPr>
        <w:jc w:val="both"/>
        <w:rPr>
          <w:rFonts w:ascii="Times New Roman" w:hAnsi="Times New Roman"/>
          <w:sz w:val="28"/>
          <w:szCs w:val="28"/>
        </w:rPr>
      </w:pPr>
      <w:r w:rsidRPr="00212A79">
        <w:rPr>
          <w:rFonts w:ascii="Times New Roman" w:hAnsi="Times New Roman"/>
          <w:sz w:val="28"/>
          <w:szCs w:val="28"/>
        </w:rPr>
        <w:t>Лечение ХОБЛ у пациентов с сахарным диабетом должно проводиться как обычно, поскольку нет доказательств того, что ХОБЛ стабильного течения следует лечить иначе при наличии сахарного диабета.</w:t>
      </w:r>
    </w:p>
    <w:p w:rsidR="00581671" w:rsidRPr="00212A79" w:rsidRDefault="00581671" w:rsidP="00212A79">
      <w:pPr>
        <w:jc w:val="both"/>
        <w:rPr>
          <w:rFonts w:ascii="Times New Roman" w:hAnsi="Times New Roman"/>
          <w:sz w:val="28"/>
          <w:szCs w:val="28"/>
        </w:rPr>
      </w:pPr>
      <w:r w:rsidRPr="00212A79">
        <w:rPr>
          <w:rFonts w:ascii="Times New Roman" w:hAnsi="Times New Roman"/>
          <w:sz w:val="28"/>
          <w:szCs w:val="28"/>
        </w:rPr>
        <w:t>Гипоксические язвы желудка и 12 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2A79">
        <w:rPr>
          <w:rFonts w:ascii="Times New Roman" w:hAnsi="Times New Roman"/>
          <w:sz w:val="28"/>
          <w:szCs w:val="28"/>
        </w:rPr>
        <w:t>к-ки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2A7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2A79">
        <w:rPr>
          <w:rFonts w:ascii="Times New Roman" w:hAnsi="Times New Roman"/>
          <w:sz w:val="28"/>
          <w:szCs w:val="28"/>
        </w:rPr>
        <w:t>частые спутники при ХОБЛ.</w:t>
      </w:r>
    </w:p>
    <w:p w:rsidR="00581671" w:rsidRPr="00212A79" w:rsidRDefault="00581671" w:rsidP="00212A79">
      <w:pPr>
        <w:jc w:val="both"/>
        <w:rPr>
          <w:rFonts w:ascii="Times New Roman" w:hAnsi="Times New Roman"/>
          <w:sz w:val="28"/>
          <w:szCs w:val="28"/>
        </w:rPr>
      </w:pPr>
      <w:r w:rsidRPr="00212A79">
        <w:rPr>
          <w:rFonts w:ascii="Times New Roman" w:hAnsi="Times New Roman"/>
          <w:sz w:val="28"/>
          <w:szCs w:val="28"/>
        </w:rPr>
        <w:t>В лечении обязательно должны присутствовать ингаляции увлажненного кисло</w:t>
      </w:r>
      <w:r>
        <w:rPr>
          <w:rFonts w:ascii="Times New Roman" w:hAnsi="Times New Roman"/>
          <w:sz w:val="28"/>
          <w:szCs w:val="28"/>
        </w:rPr>
        <w:t>рода, учитывая, гипоксический ге</w:t>
      </w:r>
      <w:r w:rsidRPr="00212A79">
        <w:rPr>
          <w:rFonts w:ascii="Times New Roman" w:hAnsi="Times New Roman"/>
          <w:sz w:val="28"/>
          <w:szCs w:val="28"/>
        </w:rPr>
        <w:t>нез развития язв.</w:t>
      </w:r>
    </w:p>
    <w:p w:rsidR="00581671" w:rsidRPr="00212A79" w:rsidRDefault="00581671" w:rsidP="00212A79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212A79">
        <w:rPr>
          <w:rFonts w:ascii="Times New Roman" w:hAnsi="Times New Roman"/>
          <w:sz w:val="28"/>
          <w:szCs w:val="28"/>
          <w:u w:val="single"/>
        </w:rPr>
        <w:t>Современные подходы к лечению ХОБЛ</w:t>
      </w:r>
    </w:p>
    <w:p w:rsidR="00581671" w:rsidRPr="00212A79" w:rsidRDefault="00581671" w:rsidP="00212A79">
      <w:pPr>
        <w:jc w:val="both"/>
        <w:rPr>
          <w:rFonts w:ascii="Times New Roman" w:hAnsi="Times New Roman"/>
          <w:sz w:val="28"/>
          <w:szCs w:val="28"/>
        </w:rPr>
      </w:pPr>
      <w:r w:rsidRPr="00212A79">
        <w:rPr>
          <w:rFonts w:ascii="Times New Roman" w:hAnsi="Times New Roman"/>
          <w:sz w:val="28"/>
          <w:szCs w:val="28"/>
        </w:rPr>
        <w:t>• Выявление и устранение факторов риска 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2A79">
        <w:rPr>
          <w:rFonts w:ascii="Times New Roman" w:hAnsi="Times New Roman"/>
          <w:sz w:val="28"/>
          <w:szCs w:val="28"/>
        </w:rPr>
        <w:t>важным шагом в предотвращении и лечении ХОБЛ.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2A79">
        <w:rPr>
          <w:rFonts w:ascii="Times New Roman" w:hAnsi="Times New Roman"/>
          <w:sz w:val="28"/>
          <w:szCs w:val="28"/>
        </w:rPr>
        <w:t xml:space="preserve">Всех курящих пациентов следует побуждать к отказу от курения. </w:t>
      </w:r>
    </w:p>
    <w:p w:rsidR="00581671" w:rsidRPr="00212A79" w:rsidRDefault="00581671" w:rsidP="00212A79">
      <w:pPr>
        <w:jc w:val="both"/>
        <w:rPr>
          <w:rFonts w:ascii="Times New Roman" w:hAnsi="Times New Roman"/>
          <w:sz w:val="28"/>
          <w:szCs w:val="28"/>
        </w:rPr>
      </w:pPr>
      <w:r w:rsidRPr="00212A79">
        <w:rPr>
          <w:rFonts w:ascii="Times New Roman" w:hAnsi="Times New Roman"/>
          <w:sz w:val="28"/>
          <w:szCs w:val="28"/>
        </w:rPr>
        <w:t>• Уровень ОФВ1 является неадекватным показателем влияния заболевания на состояние здоровья пациента. Таким образом, в общую программу терапии ХОБЛ стабильного течения следует включать индивидуальную оценку симптоматики и риска обострений.</w:t>
      </w:r>
    </w:p>
    <w:p w:rsidR="00581671" w:rsidRPr="00212A79" w:rsidRDefault="00581671" w:rsidP="00212A79">
      <w:pPr>
        <w:jc w:val="both"/>
        <w:rPr>
          <w:rFonts w:ascii="Times New Roman" w:hAnsi="Times New Roman"/>
          <w:sz w:val="28"/>
          <w:szCs w:val="28"/>
        </w:rPr>
      </w:pPr>
      <w:r w:rsidRPr="00212A79">
        <w:rPr>
          <w:rFonts w:ascii="Times New Roman" w:hAnsi="Times New Roman"/>
          <w:sz w:val="28"/>
          <w:szCs w:val="28"/>
        </w:rPr>
        <w:t>• Цель фармакотерапии – уменьшение выраженности симптомов, снижение частоты и тяжести обострений, улучшение состояния здоровья и переносимости физической нагрузки. Полностью не доказано, что существующие препараты для лечения ХОБЛ положительно влияют на снижение легочной функции в долговременной перспективе, являющееся характерной чертой данного заболевания.</w:t>
      </w:r>
    </w:p>
    <w:p w:rsidR="00581671" w:rsidRPr="00212A79" w:rsidRDefault="00581671" w:rsidP="00212A79">
      <w:pPr>
        <w:jc w:val="both"/>
        <w:rPr>
          <w:rFonts w:ascii="Times New Roman" w:hAnsi="Times New Roman"/>
          <w:sz w:val="28"/>
          <w:szCs w:val="28"/>
        </w:rPr>
      </w:pPr>
      <w:r w:rsidRPr="00212A79">
        <w:rPr>
          <w:rFonts w:ascii="Times New Roman" w:hAnsi="Times New Roman"/>
          <w:sz w:val="28"/>
          <w:szCs w:val="28"/>
        </w:rPr>
        <w:t>• Как для β2 агонистов, так и для антихолинергических препаратов предпочтительно использовать длительнодействующие лекарственные формы.</w:t>
      </w:r>
    </w:p>
    <w:p w:rsidR="00581671" w:rsidRPr="00212A79" w:rsidRDefault="00581671" w:rsidP="00212A79">
      <w:pPr>
        <w:jc w:val="both"/>
        <w:rPr>
          <w:rFonts w:ascii="Times New Roman" w:hAnsi="Times New Roman"/>
          <w:sz w:val="28"/>
          <w:szCs w:val="28"/>
        </w:rPr>
      </w:pPr>
      <w:r w:rsidRPr="00212A79">
        <w:rPr>
          <w:rFonts w:ascii="Times New Roman" w:hAnsi="Times New Roman"/>
          <w:sz w:val="28"/>
          <w:szCs w:val="28"/>
        </w:rPr>
        <w:t>Ингаляционные бронходилататоры более эффективны и вызывают меньше побочных эффектов, чем препараты для приема внутрь.</w:t>
      </w:r>
    </w:p>
    <w:p w:rsidR="00581671" w:rsidRPr="00212A79" w:rsidRDefault="00581671" w:rsidP="00212A79">
      <w:pPr>
        <w:jc w:val="both"/>
        <w:rPr>
          <w:rFonts w:ascii="Times New Roman" w:hAnsi="Times New Roman"/>
          <w:sz w:val="28"/>
          <w:szCs w:val="28"/>
        </w:rPr>
      </w:pPr>
      <w:r w:rsidRPr="00212A79">
        <w:rPr>
          <w:rFonts w:ascii="Times New Roman" w:hAnsi="Times New Roman"/>
          <w:sz w:val="28"/>
          <w:szCs w:val="28"/>
        </w:rPr>
        <w:t>• Пациентам с высоким риском обострений рекомендуется длительное применение ингаляционных ГКС в сочетании с длительнодействующими бронходилататорами.</w:t>
      </w:r>
    </w:p>
    <w:p w:rsidR="00581671" w:rsidRPr="00212A79" w:rsidRDefault="00581671" w:rsidP="00212A79">
      <w:pPr>
        <w:jc w:val="both"/>
        <w:rPr>
          <w:rFonts w:ascii="Times New Roman" w:hAnsi="Times New Roman"/>
          <w:sz w:val="28"/>
          <w:szCs w:val="28"/>
        </w:rPr>
      </w:pPr>
      <w:r w:rsidRPr="00212A79">
        <w:rPr>
          <w:rFonts w:ascii="Times New Roman" w:hAnsi="Times New Roman"/>
          <w:sz w:val="28"/>
          <w:szCs w:val="28"/>
        </w:rPr>
        <w:t>• Длительная монотерапия таблетированными 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2A79">
        <w:rPr>
          <w:rFonts w:ascii="Times New Roman" w:hAnsi="Times New Roman"/>
          <w:sz w:val="28"/>
          <w:szCs w:val="28"/>
        </w:rPr>
        <w:t>ингаляционными ГКС не рекомендуется при ХОБЛ.</w:t>
      </w:r>
    </w:p>
    <w:p w:rsidR="00581671" w:rsidRPr="00212A79" w:rsidRDefault="00581671" w:rsidP="00212A79">
      <w:pPr>
        <w:jc w:val="both"/>
        <w:rPr>
          <w:rFonts w:ascii="Times New Roman" w:hAnsi="Times New Roman"/>
          <w:sz w:val="28"/>
          <w:szCs w:val="28"/>
        </w:rPr>
      </w:pPr>
      <w:r w:rsidRPr="00212A79">
        <w:rPr>
          <w:rFonts w:ascii="Times New Roman" w:hAnsi="Times New Roman"/>
          <w:sz w:val="28"/>
          <w:szCs w:val="28"/>
        </w:rPr>
        <w:t>• Применение ингибитора фосфодиэстеразы 4 рофлумиласта может способствовать уменьшению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2A79">
        <w:rPr>
          <w:rFonts w:ascii="Times New Roman" w:hAnsi="Times New Roman"/>
          <w:sz w:val="28"/>
          <w:szCs w:val="28"/>
        </w:rPr>
        <w:t>частоты обострений у пациентов с ОФВ1 &lt;50%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2A79">
        <w:rPr>
          <w:rFonts w:ascii="Times New Roman" w:hAnsi="Times New Roman"/>
          <w:sz w:val="28"/>
          <w:szCs w:val="28"/>
        </w:rPr>
        <w:t>должного, хроническим бронхитом и частыми обострениями.</w:t>
      </w:r>
    </w:p>
    <w:p w:rsidR="00581671" w:rsidRPr="00212A79" w:rsidRDefault="00581671" w:rsidP="00212A79">
      <w:pPr>
        <w:jc w:val="both"/>
        <w:rPr>
          <w:rFonts w:ascii="Times New Roman" w:hAnsi="Times New Roman"/>
          <w:sz w:val="28"/>
          <w:szCs w:val="28"/>
        </w:rPr>
      </w:pPr>
      <w:r w:rsidRPr="00212A79">
        <w:rPr>
          <w:rFonts w:ascii="Times New Roman" w:hAnsi="Times New Roman"/>
          <w:sz w:val="28"/>
          <w:szCs w:val="28"/>
        </w:rPr>
        <w:t>• Вакцинация против гриппа позволяет снизить риск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2A79">
        <w:rPr>
          <w:rFonts w:ascii="Times New Roman" w:hAnsi="Times New Roman"/>
          <w:sz w:val="28"/>
          <w:szCs w:val="28"/>
        </w:rPr>
        <w:t>серьезных осложнений (госпитализация в связи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2A79">
        <w:rPr>
          <w:rFonts w:ascii="Times New Roman" w:hAnsi="Times New Roman"/>
          <w:sz w:val="28"/>
          <w:szCs w:val="28"/>
        </w:rPr>
        <w:t>инфекциями нижних дыхательных путей) и смертность у пациентов с ХОБЛ.</w:t>
      </w:r>
    </w:p>
    <w:p w:rsidR="00581671" w:rsidRPr="00212A79" w:rsidRDefault="00581671" w:rsidP="00212A79">
      <w:pPr>
        <w:jc w:val="both"/>
        <w:rPr>
          <w:rFonts w:ascii="Times New Roman" w:hAnsi="Times New Roman"/>
          <w:sz w:val="28"/>
          <w:szCs w:val="28"/>
        </w:rPr>
      </w:pPr>
      <w:r w:rsidRPr="00212A79">
        <w:rPr>
          <w:rFonts w:ascii="Times New Roman" w:hAnsi="Times New Roman"/>
          <w:sz w:val="28"/>
          <w:szCs w:val="28"/>
        </w:rPr>
        <w:t>• В настоящее время использование антибиотиков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2A79">
        <w:rPr>
          <w:rFonts w:ascii="Times New Roman" w:hAnsi="Times New Roman"/>
          <w:sz w:val="28"/>
          <w:szCs w:val="28"/>
        </w:rPr>
        <w:t>при ХОБЛ показано только для лечения обострений,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2A79">
        <w:rPr>
          <w:rFonts w:ascii="Times New Roman" w:hAnsi="Times New Roman"/>
          <w:sz w:val="28"/>
          <w:szCs w:val="28"/>
        </w:rPr>
        <w:t>связанных с инфекциями, и других бактериальных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2A79">
        <w:rPr>
          <w:rFonts w:ascii="Times New Roman" w:hAnsi="Times New Roman"/>
          <w:sz w:val="28"/>
          <w:szCs w:val="28"/>
        </w:rPr>
        <w:t>инфекций.</w:t>
      </w:r>
    </w:p>
    <w:p w:rsidR="00581671" w:rsidRPr="00212A79" w:rsidRDefault="00581671" w:rsidP="00212A79">
      <w:pPr>
        <w:jc w:val="both"/>
        <w:rPr>
          <w:rFonts w:ascii="Times New Roman" w:hAnsi="Times New Roman"/>
          <w:sz w:val="28"/>
          <w:szCs w:val="28"/>
        </w:rPr>
      </w:pPr>
      <w:r w:rsidRPr="00212A79">
        <w:rPr>
          <w:rFonts w:ascii="Times New Roman" w:hAnsi="Times New Roman"/>
          <w:sz w:val="28"/>
          <w:szCs w:val="28"/>
        </w:rPr>
        <w:t>• У всех пациентов с ХОБЛ и одышкой при ходьбе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2A79">
        <w:rPr>
          <w:rFonts w:ascii="Times New Roman" w:hAnsi="Times New Roman"/>
          <w:sz w:val="28"/>
          <w:szCs w:val="28"/>
        </w:rPr>
        <w:t>привычном темпе по ровной поверхности полезно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2A79">
        <w:rPr>
          <w:rFonts w:ascii="Times New Roman" w:hAnsi="Times New Roman"/>
          <w:sz w:val="28"/>
          <w:szCs w:val="28"/>
        </w:rPr>
        <w:t>проведение реабилитации и поддержание физической активности, что позволяет увеличить переносимость физической нагрузки, улучшить качество жизни и уменьшить выраженность одышки и общей слабости.</w:t>
      </w:r>
    </w:p>
    <w:p w:rsidR="00581671" w:rsidRPr="00212A79" w:rsidRDefault="00581671" w:rsidP="00212A79">
      <w:pPr>
        <w:jc w:val="both"/>
        <w:rPr>
          <w:rFonts w:ascii="Times New Roman" w:hAnsi="Times New Roman"/>
          <w:sz w:val="28"/>
          <w:szCs w:val="28"/>
        </w:rPr>
      </w:pPr>
    </w:p>
    <w:p w:rsidR="00581671" w:rsidRPr="00212A79" w:rsidRDefault="00581671" w:rsidP="00212A79">
      <w:pPr>
        <w:jc w:val="both"/>
        <w:rPr>
          <w:rFonts w:ascii="Times New Roman" w:hAnsi="Times New Roman"/>
          <w:sz w:val="28"/>
          <w:szCs w:val="28"/>
        </w:rPr>
      </w:pPr>
    </w:p>
    <w:p w:rsidR="00581671" w:rsidRPr="00212A79" w:rsidRDefault="00581671" w:rsidP="00212A79">
      <w:pPr>
        <w:jc w:val="both"/>
        <w:rPr>
          <w:rFonts w:ascii="Times New Roman" w:hAnsi="Times New Roman"/>
          <w:sz w:val="28"/>
          <w:szCs w:val="28"/>
        </w:rPr>
      </w:pPr>
    </w:p>
    <w:p w:rsidR="00581671" w:rsidRPr="00212A79" w:rsidRDefault="00581671" w:rsidP="00212A79">
      <w:pPr>
        <w:jc w:val="both"/>
        <w:rPr>
          <w:rFonts w:ascii="Times New Roman" w:hAnsi="Times New Roman"/>
          <w:sz w:val="28"/>
          <w:szCs w:val="28"/>
        </w:rPr>
      </w:pPr>
    </w:p>
    <w:sectPr w:rsidR="00581671" w:rsidRPr="00212A79" w:rsidSect="005E1430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671" w:rsidRDefault="00581671">
      <w:r>
        <w:separator/>
      </w:r>
    </w:p>
  </w:endnote>
  <w:endnote w:type="continuationSeparator" w:id="0">
    <w:p w:rsidR="00581671" w:rsidRDefault="005816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671" w:rsidRDefault="00581671" w:rsidP="00387FB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1671" w:rsidRDefault="0058167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671" w:rsidRDefault="00581671" w:rsidP="00387FB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81671" w:rsidRDefault="005816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671" w:rsidRDefault="00581671">
      <w:r>
        <w:separator/>
      </w:r>
    </w:p>
  </w:footnote>
  <w:footnote w:type="continuationSeparator" w:id="0">
    <w:p w:rsidR="00581671" w:rsidRDefault="005816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5388"/>
    <w:rsid w:val="00061D5C"/>
    <w:rsid w:val="000D0629"/>
    <w:rsid w:val="001A3838"/>
    <w:rsid w:val="00212A79"/>
    <w:rsid w:val="0028778B"/>
    <w:rsid w:val="00346150"/>
    <w:rsid w:val="00387FB5"/>
    <w:rsid w:val="003A7D97"/>
    <w:rsid w:val="004E5CDE"/>
    <w:rsid w:val="00581671"/>
    <w:rsid w:val="005E1430"/>
    <w:rsid w:val="006E55D1"/>
    <w:rsid w:val="00800888"/>
    <w:rsid w:val="008C45CE"/>
    <w:rsid w:val="00C4139F"/>
    <w:rsid w:val="00E404D2"/>
    <w:rsid w:val="00E61DA1"/>
    <w:rsid w:val="00F35388"/>
    <w:rsid w:val="00FA7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403"/>
    <w:pPr>
      <w:spacing w:after="200" w:line="276" w:lineRule="auto"/>
    </w:pPr>
    <w:rPr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5E1430"/>
    <w:pPr>
      <w:keepNext/>
      <w:spacing w:after="0" w:line="240" w:lineRule="auto"/>
      <w:ind w:right="43"/>
      <w:jc w:val="center"/>
      <w:outlineLvl w:val="6"/>
    </w:pPr>
    <w:rPr>
      <w:rFonts w:ascii="Times New Roman" w:hAnsi="Times New Roman"/>
      <w:b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semiHidden/>
    <w:rsid w:val="000C03F7"/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customStyle="1" w:styleId="CharChar1">
    <w:name w:val="Char Char1 Знак Знак Знак"/>
    <w:basedOn w:val="Normal"/>
    <w:uiPriority w:val="99"/>
    <w:rsid w:val="005E1430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5E14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Title">
    <w:name w:val="Title"/>
    <w:basedOn w:val="Normal"/>
    <w:link w:val="TitleChar1"/>
    <w:uiPriority w:val="99"/>
    <w:qFormat/>
    <w:locked/>
    <w:rsid w:val="005E1430"/>
    <w:pPr>
      <w:spacing w:after="0" w:line="240" w:lineRule="auto"/>
      <w:jc w:val="center"/>
    </w:pPr>
    <w:rPr>
      <w:rFonts w:ascii="Times New Roman" w:hAnsi="Times New Roman"/>
      <w:sz w:val="28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10"/>
    <w:rsid w:val="000C03F7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TitleChar1">
    <w:name w:val="Title Char1"/>
    <w:link w:val="Title"/>
    <w:uiPriority w:val="99"/>
    <w:locked/>
    <w:rsid w:val="005E1430"/>
    <w:rPr>
      <w:sz w:val="24"/>
      <w:lang w:val="ru-RU" w:eastAsia="ru-RU"/>
    </w:rPr>
  </w:style>
  <w:style w:type="paragraph" w:styleId="Footer">
    <w:name w:val="footer"/>
    <w:basedOn w:val="Normal"/>
    <w:link w:val="FooterChar"/>
    <w:uiPriority w:val="99"/>
    <w:rsid w:val="005E143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03F7"/>
    <w:rPr>
      <w:lang w:eastAsia="en-US"/>
    </w:rPr>
  </w:style>
  <w:style w:type="character" w:styleId="PageNumber">
    <w:name w:val="page number"/>
    <w:basedOn w:val="DefaultParagraphFont"/>
    <w:uiPriority w:val="99"/>
    <w:rsid w:val="005E143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60</TotalTime>
  <Pages>4</Pages>
  <Words>893</Words>
  <Characters>5094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GaidinaOV</cp:lastModifiedBy>
  <cp:revision>4</cp:revision>
  <dcterms:created xsi:type="dcterms:W3CDTF">2014-10-05T09:00:00Z</dcterms:created>
  <dcterms:modified xsi:type="dcterms:W3CDTF">2014-10-12T23:59:00Z</dcterms:modified>
</cp:coreProperties>
</file>